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3E" w:rsidRDefault="004F463E" w:rsidP="004F463E">
      <w:pPr>
        <w:pStyle w:val="ConsPlusNormal"/>
        <w:jc w:val="right"/>
        <w:outlineLvl w:val="1"/>
      </w:pPr>
      <w:r>
        <w:t>Приложение 8</w:t>
      </w:r>
    </w:p>
    <w:p w:rsidR="004F463E" w:rsidRDefault="004F463E" w:rsidP="004F463E">
      <w:pPr>
        <w:pStyle w:val="ConsPlusNormal"/>
        <w:jc w:val="right"/>
      </w:pPr>
      <w:r>
        <w:t>к Порядку организации</w:t>
      </w:r>
    </w:p>
    <w:p w:rsidR="004F463E" w:rsidRDefault="004F463E" w:rsidP="004F463E">
      <w:pPr>
        <w:pStyle w:val="ConsPlusNormal"/>
        <w:jc w:val="right"/>
      </w:pPr>
      <w:r>
        <w:t>и проведения контроля объемов,</w:t>
      </w:r>
    </w:p>
    <w:p w:rsidR="004F463E" w:rsidRDefault="004F463E" w:rsidP="004F463E">
      <w:pPr>
        <w:pStyle w:val="ConsPlusNormal"/>
        <w:jc w:val="right"/>
      </w:pPr>
      <w:r>
        <w:t>сроков, качества и условий</w:t>
      </w:r>
    </w:p>
    <w:p w:rsidR="004F463E" w:rsidRDefault="004F463E" w:rsidP="004F463E">
      <w:pPr>
        <w:pStyle w:val="ConsPlusNormal"/>
        <w:jc w:val="right"/>
      </w:pPr>
      <w:r>
        <w:t xml:space="preserve">предоставления </w:t>
      </w:r>
      <w:proofErr w:type="gramStart"/>
      <w:r>
        <w:t>медицинской</w:t>
      </w:r>
      <w:proofErr w:type="gramEnd"/>
    </w:p>
    <w:p w:rsidR="004F463E" w:rsidRDefault="004F463E" w:rsidP="004F463E">
      <w:pPr>
        <w:pStyle w:val="ConsPlusNormal"/>
        <w:jc w:val="right"/>
      </w:pPr>
      <w:r>
        <w:t xml:space="preserve">помощи по </w:t>
      </w:r>
      <w:proofErr w:type="gramStart"/>
      <w:r>
        <w:t>обязательному</w:t>
      </w:r>
      <w:proofErr w:type="gramEnd"/>
    </w:p>
    <w:p w:rsidR="004F463E" w:rsidRDefault="004F463E" w:rsidP="004F463E">
      <w:pPr>
        <w:pStyle w:val="ConsPlusNormal"/>
        <w:jc w:val="right"/>
      </w:pPr>
      <w:r>
        <w:t>медицинскому страхованию</w:t>
      </w:r>
    </w:p>
    <w:p w:rsidR="004F463E" w:rsidRDefault="004F463E" w:rsidP="004F463E">
      <w:pPr>
        <w:pStyle w:val="ConsPlusNormal"/>
        <w:jc w:val="both"/>
      </w:pPr>
    </w:p>
    <w:p w:rsidR="004F463E" w:rsidRDefault="004F463E" w:rsidP="004F463E">
      <w:pPr>
        <w:pStyle w:val="ConsPlusNormal"/>
        <w:tabs>
          <w:tab w:val="left" w:pos="6390"/>
        </w:tabs>
        <w:jc w:val="both"/>
      </w:pPr>
      <w:r>
        <w:t xml:space="preserve">                                                                                                    </w:t>
      </w:r>
      <w:r w:rsidRPr="004F463E">
        <w:t xml:space="preserve">Приказ ФФОМС № 36 от </w:t>
      </w:r>
      <w:r>
        <w:t xml:space="preserve">  </w:t>
      </w:r>
      <w:r w:rsidRPr="004F463E">
        <w:t>28.02.2019</w:t>
      </w:r>
    </w:p>
    <w:p w:rsidR="004F463E" w:rsidRDefault="004F463E" w:rsidP="004F463E">
      <w:pPr>
        <w:pStyle w:val="ConsPlusNormal"/>
        <w:tabs>
          <w:tab w:val="left" w:pos="6390"/>
        </w:tabs>
        <w:jc w:val="both"/>
      </w:pPr>
      <w:r>
        <w:t xml:space="preserve">               </w:t>
      </w:r>
      <w:bookmarkStart w:id="0" w:name="_GoBack"/>
      <w:bookmarkEnd w:id="0"/>
    </w:p>
    <w:p w:rsidR="004F463E" w:rsidRDefault="004F463E" w:rsidP="004F463E">
      <w:pPr>
        <w:pStyle w:val="ConsPlusNormal"/>
        <w:jc w:val="both"/>
      </w:pPr>
    </w:p>
    <w:p w:rsidR="004F463E" w:rsidRDefault="004F463E" w:rsidP="004F463E">
      <w:pPr>
        <w:pStyle w:val="ConsPlusTitle"/>
        <w:jc w:val="center"/>
      </w:pPr>
      <w:bookmarkStart w:id="1" w:name="P1541"/>
      <w:bookmarkEnd w:id="1"/>
      <w:r>
        <w:t>ПЕРЕЧЕНЬ</w:t>
      </w:r>
    </w:p>
    <w:p w:rsidR="004F463E" w:rsidRDefault="004F463E" w:rsidP="004F463E">
      <w:pPr>
        <w:pStyle w:val="ConsPlusTitle"/>
        <w:jc w:val="center"/>
      </w:pPr>
      <w:r>
        <w:t>ОСНОВАНИЙ ДЛЯ ОТКАЗА В ОПЛАТЕ МЕДИЦИНСКОЙ ПОМОЩИ</w:t>
      </w:r>
    </w:p>
    <w:p w:rsidR="004F463E" w:rsidRDefault="004F463E" w:rsidP="004F463E">
      <w:pPr>
        <w:pStyle w:val="ConsPlusTitle"/>
        <w:jc w:val="center"/>
      </w:pPr>
      <w:r>
        <w:t>(УМЕНЬШЕНИЯ ОПЛАТЫ МЕДИЦИНСКОЙ ПОМОЩИ)</w:t>
      </w:r>
    </w:p>
    <w:p w:rsidR="004F463E" w:rsidRDefault="004F463E" w:rsidP="004F46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Код нарушения/дефекта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Перечень оснований</w:t>
            </w:r>
          </w:p>
        </w:tc>
      </w:tr>
      <w:tr w:rsidR="004F463E" w:rsidTr="0099467B">
        <w:tc>
          <w:tcPr>
            <w:tcW w:w="9070" w:type="dxa"/>
            <w:gridSpan w:val="2"/>
          </w:tcPr>
          <w:p w:rsidR="004F463E" w:rsidRDefault="004F463E" w:rsidP="0099467B">
            <w:pPr>
              <w:pStyle w:val="ConsPlusNormal"/>
              <w:outlineLvl w:val="2"/>
            </w:pPr>
            <w: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>
              <w:t>доезда</w:t>
            </w:r>
            <w:proofErr w:type="spellEnd"/>
            <w:r>
              <w:t xml:space="preserve">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>
              <w:t xml:space="preserve"> проведения диспансерного наблюдения;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spellStart"/>
            <w:r>
              <w:t>невключение</w:t>
            </w:r>
            <w:proofErr w:type="spellEnd"/>
            <w: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 xml:space="preserve">не </w:t>
            </w:r>
            <w:proofErr w:type="gramStart"/>
            <w:r>
              <w:t>повлекший</w:t>
            </w:r>
            <w:proofErr w:type="gramEnd"/>
            <w: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 xml:space="preserve">не </w:t>
            </w:r>
            <w:proofErr w:type="gramStart"/>
            <w:r>
              <w:t>повлекший</w:t>
            </w:r>
            <w:proofErr w:type="gramEnd"/>
            <w: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 xml:space="preserve">повлекший за собой ухудшение состояния здоровья, в том числе приведший к </w:t>
            </w:r>
            <w:proofErr w:type="spellStart"/>
            <w:r>
              <w:t>инвалидизации</w:t>
            </w:r>
            <w:proofErr w:type="spellEnd"/>
            <w: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proofErr w:type="gramStart"/>
            <w: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1734" w:history="1">
              <w:r>
                <w:rPr>
                  <w:color w:val="0000FF"/>
                </w:rPr>
                <w:t>&lt;21&gt;</w:t>
              </w:r>
            </w:hyperlink>
            <w: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w:anchor="P1735" w:history="1">
              <w:r>
                <w:rPr>
                  <w:color w:val="0000FF"/>
                </w:rPr>
                <w:t>&lt;22&gt;</w:t>
              </w:r>
            </w:hyperlink>
            <w:r>
              <w:t>, на основе клинических рекомендаций, с учетом стандартов медицинской помощи.</w:t>
            </w:r>
            <w:proofErr w:type="gramEnd"/>
          </w:p>
        </w:tc>
      </w:tr>
      <w:tr w:rsidR="004F463E" w:rsidTr="0099467B">
        <w:tc>
          <w:tcPr>
            <w:tcW w:w="9070" w:type="dxa"/>
            <w:gridSpan w:val="2"/>
          </w:tcPr>
          <w:p w:rsidR="004F463E" w:rsidRDefault="004F463E" w:rsidP="0099467B">
            <w:pPr>
              <w:pStyle w:val="ConsPlusNormal"/>
              <w:outlineLvl w:val="2"/>
            </w:pPr>
            <w:r>
              <w:t>Раздел 2. Отсутствие информированности застрахованного населения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видах оказываемой медицинской помощи;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</w:t>
            </w:r>
            <w:r>
              <w:lastRenderedPageBreak/>
              <w:t xml:space="preserve">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  <w:hyperlink w:anchor="P1736" w:history="1">
              <w:r>
                <w:rPr>
                  <w:color w:val="0000FF"/>
                </w:rPr>
                <w:t>&lt;23&gt;</w:t>
              </w:r>
            </w:hyperlink>
            <w:r>
              <w:t>.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Отсутствие информационных стендов в медицинских организациях.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</w:tr>
      <w:tr w:rsidR="004F463E" w:rsidTr="0099467B">
        <w:tc>
          <w:tcPr>
            <w:tcW w:w="9070" w:type="dxa"/>
            <w:gridSpan w:val="2"/>
          </w:tcPr>
          <w:p w:rsidR="004F463E" w:rsidRDefault="004F463E" w:rsidP="0099467B">
            <w:pPr>
              <w:pStyle w:val="ConsPlusNormal"/>
              <w:outlineLvl w:val="2"/>
            </w:pPr>
            <w:r>
              <w:t>Раздел 3. Нарушения при оказании медицинской помощи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proofErr w:type="gramStart"/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не повлиявшее на состояние здоровья застрахованного лица;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приведшее</w:t>
            </w:r>
            <w:proofErr w:type="gramEnd"/>
            <w:r>
              <w:t xml:space="preserve">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 </w:t>
            </w:r>
            <w:hyperlink w:anchor="P1737" w:history="1">
              <w:r>
                <w:rPr>
                  <w:color w:val="0000FF"/>
                </w:rPr>
                <w:t>&lt;24&gt;</w:t>
              </w:r>
            </w:hyperlink>
            <w:r>
              <w:t>).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приведшее</w:t>
            </w:r>
            <w:proofErr w:type="gramEnd"/>
            <w:r>
              <w:t xml:space="preserve"> к </w:t>
            </w:r>
            <w:proofErr w:type="spellStart"/>
            <w:r>
              <w:t>инвалидизации</w:t>
            </w:r>
            <w:proofErr w:type="spellEnd"/>
            <w:r>
              <w:t xml:space="preserve">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lastRenderedPageBreak/>
              <w:t>3.2.5.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приведшее</w:t>
            </w:r>
            <w:proofErr w:type="gramEnd"/>
            <w:r>
              <w:t xml:space="preserve">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proofErr w:type="gramStart"/>
            <w: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 xml:space="preserve">Необоснованное назначение лекарственных препаратов; одновременное </w:t>
            </w:r>
            <w:r>
              <w:lastRenderedPageBreak/>
              <w:t>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 xml:space="preserve">Невыполнение по вине медицинской организации патологоанатомического вскрытия в соответствии с действующим законодательством </w:t>
            </w:r>
            <w:hyperlink w:anchor="P1738" w:history="1">
              <w:r>
                <w:rPr>
                  <w:color w:val="0000FF"/>
                </w:rPr>
                <w:t>&lt;25&gt;</w:t>
              </w:r>
            </w:hyperlink>
            <w:r>
              <w:t>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4F463E" w:rsidTr="0099467B">
        <w:tc>
          <w:tcPr>
            <w:tcW w:w="9070" w:type="dxa"/>
            <w:gridSpan w:val="2"/>
          </w:tcPr>
          <w:p w:rsidR="004F463E" w:rsidRDefault="004F463E" w:rsidP="0099467B">
            <w:pPr>
              <w:pStyle w:val="ConsPlusNormal"/>
              <w:outlineLvl w:val="2"/>
            </w:pPr>
            <w:r>
              <w:t>Раздел 4. Дефекты оформления медицинской документации в медицинской организации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proofErr w:type="gramStart"/>
            <w:r>
              <w:t xml:space="preserve">Отсутствие в документации информированного добровольного согласия застрахованного лица на медицинское вмешательство </w:t>
            </w:r>
            <w:hyperlink w:anchor="P1739" w:history="1">
              <w:r>
                <w:rPr>
                  <w:color w:val="0000FF"/>
                </w:rPr>
                <w:t>&lt;26&gt;</w:t>
              </w:r>
            </w:hyperlink>
            <w:r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proofErr w:type="gramStart"/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Несоответствие данных медицинской документации данным реестра счетов,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4.6.1.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Некорректное применение тарифа, требующее его замены по результатам экспертизы.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4F463E" w:rsidTr="0099467B">
        <w:tc>
          <w:tcPr>
            <w:tcW w:w="9070" w:type="dxa"/>
            <w:gridSpan w:val="2"/>
          </w:tcPr>
          <w:p w:rsidR="004F463E" w:rsidRDefault="004F463E" w:rsidP="0099467B">
            <w:pPr>
              <w:pStyle w:val="ConsPlusNormal"/>
              <w:outlineLvl w:val="2"/>
            </w:pPr>
            <w:r>
              <w:t>Раздел 5. Нарушения в оформлении и предъявлении на оплату счетов и реестров счетов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наличие ошибок и/или недостоверной информации в реквизитах счета;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lastRenderedPageBreak/>
              <w:t>5.1.3.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некорректное заполнение полей реестра счетов;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lastRenderedPageBreak/>
              <w:t>5.4.2.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proofErr w:type="gramStart"/>
            <w: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  <w:proofErr w:type="gramEnd"/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5.5.3.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5.7.1.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5.7.2.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5.7.3.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5.7.4.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5.7.5.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Включения в реестр счетов медицинской помощи:</w:t>
            </w:r>
          </w:p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5.7.6.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ind w:left="283"/>
              <w:jc w:val="both"/>
            </w:pPr>
            <w: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4F463E" w:rsidTr="0099467B">
        <w:tc>
          <w:tcPr>
            <w:tcW w:w="850" w:type="dxa"/>
          </w:tcPr>
          <w:p w:rsidR="004F463E" w:rsidRDefault="004F463E" w:rsidP="0099467B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220" w:type="dxa"/>
          </w:tcPr>
          <w:p w:rsidR="004F463E" w:rsidRDefault="004F463E" w:rsidP="0099467B">
            <w:pPr>
              <w:pStyle w:val="ConsPlusNormal"/>
              <w:jc w:val="both"/>
            </w:pPr>
            <w:r>
              <w:t>Отсутствие в реестре счетов сведений о страховом случае с летальным исходом.</w:t>
            </w:r>
          </w:p>
        </w:tc>
      </w:tr>
    </w:tbl>
    <w:p w:rsidR="004F463E" w:rsidRDefault="004F463E" w:rsidP="004F463E">
      <w:pPr>
        <w:pStyle w:val="ConsPlusNormal"/>
        <w:jc w:val="both"/>
      </w:pPr>
    </w:p>
    <w:p w:rsidR="00B8393E" w:rsidRDefault="00B8393E"/>
    <w:sectPr w:rsidR="00B8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E"/>
    <w:rsid w:val="004F463E"/>
    <w:rsid w:val="00B8393E"/>
    <w:rsid w:val="00E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2744</Words>
  <Characters>15643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</dc:creator>
  <cp:keywords/>
  <dc:description/>
  <cp:lastModifiedBy>КУПРИЯНОВА</cp:lastModifiedBy>
  <cp:revision>2</cp:revision>
  <dcterms:created xsi:type="dcterms:W3CDTF">2019-11-26T05:38:00Z</dcterms:created>
  <dcterms:modified xsi:type="dcterms:W3CDTF">2019-11-26T05:40:00Z</dcterms:modified>
</cp:coreProperties>
</file>